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EE" w:rsidRDefault="00FD3C42" w:rsidP="00FD3C4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Testimony of Mr. Chris Oliver</w:t>
      </w:r>
    </w:p>
    <w:p w:rsidR="00EC029E" w:rsidRDefault="00EC029E" w:rsidP="00FD3C42">
      <w:pPr>
        <w:jc w:val="center"/>
        <w:rPr>
          <w:rFonts w:ascii="Times New Roman" w:hAnsi="Times New Roman" w:cs="Times New Roman"/>
          <w:sz w:val="24"/>
          <w:szCs w:val="24"/>
        </w:rPr>
      </w:pPr>
      <w:r>
        <w:rPr>
          <w:rFonts w:ascii="Times New Roman" w:hAnsi="Times New Roman" w:cs="Times New Roman"/>
          <w:sz w:val="24"/>
          <w:szCs w:val="24"/>
        </w:rPr>
        <w:t>North Pacific Fishery Management Council</w:t>
      </w:r>
    </w:p>
    <w:p w:rsidR="00EC029E" w:rsidRDefault="00EC029E" w:rsidP="00FD3C42">
      <w:pPr>
        <w:jc w:val="center"/>
        <w:rPr>
          <w:rFonts w:ascii="Times New Roman" w:hAnsi="Times New Roman" w:cs="Times New Roman"/>
          <w:sz w:val="24"/>
          <w:szCs w:val="24"/>
        </w:rPr>
      </w:pPr>
      <w:r>
        <w:rPr>
          <w:rFonts w:ascii="Times New Roman" w:hAnsi="Times New Roman" w:cs="Times New Roman"/>
          <w:sz w:val="24"/>
          <w:szCs w:val="24"/>
        </w:rPr>
        <w:t>Before the</w:t>
      </w:r>
    </w:p>
    <w:p w:rsidR="00EC029E" w:rsidRDefault="00EC029E" w:rsidP="00EC029E">
      <w:pPr>
        <w:jc w:val="center"/>
        <w:rPr>
          <w:rFonts w:ascii="Times New Roman" w:hAnsi="Times New Roman" w:cs="Times New Roman"/>
          <w:sz w:val="24"/>
          <w:szCs w:val="24"/>
        </w:rPr>
      </w:pPr>
      <w:r>
        <w:rPr>
          <w:rFonts w:ascii="Times New Roman" w:hAnsi="Times New Roman" w:cs="Times New Roman"/>
          <w:sz w:val="24"/>
          <w:szCs w:val="24"/>
        </w:rPr>
        <w:t>U.S. Senate Committee on Commerce, Science and Transportation</w:t>
      </w:r>
    </w:p>
    <w:p w:rsidR="00FD3C42" w:rsidRDefault="00EC029E" w:rsidP="00FD3C42">
      <w:pPr>
        <w:jc w:val="center"/>
        <w:rPr>
          <w:rFonts w:ascii="Times New Roman" w:hAnsi="Times New Roman" w:cs="Times New Roman"/>
          <w:sz w:val="24"/>
          <w:szCs w:val="24"/>
        </w:rPr>
      </w:pPr>
      <w:r>
        <w:rPr>
          <w:rFonts w:ascii="Times New Roman" w:hAnsi="Times New Roman" w:cs="Times New Roman"/>
          <w:sz w:val="24"/>
          <w:szCs w:val="24"/>
        </w:rPr>
        <w:t>Subcommittee on Oceans, Atmosphere, Fisheries, and Coast Guard</w:t>
      </w:r>
    </w:p>
    <w:p w:rsidR="00FD3C42" w:rsidRDefault="00FD3C42" w:rsidP="00FD3C42">
      <w:pPr>
        <w:jc w:val="center"/>
        <w:rPr>
          <w:rFonts w:ascii="Times New Roman" w:hAnsi="Times New Roman" w:cs="Times New Roman"/>
          <w:sz w:val="24"/>
          <w:szCs w:val="24"/>
        </w:rPr>
      </w:pPr>
      <w:r>
        <w:rPr>
          <w:rFonts w:ascii="Times New Roman" w:hAnsi="Times New Roman" w:cs="Times New Roman"/>
          <w:sz w:val="24"/>
          <w:szCs w:val="24"/>
        </w:rPr>
        <w:t>February 27, 2014</w:t>
      </w:r>
    </w:p>
    <w:p w:rsidR="00FD3C42" w:rsidRDefault="00FD3C42" w:rsidP="00FD3C42">
      <w:pPr>
        <w:jc w:val="center"/>
        <w:rPr>
          <w:rFonts w:ascii="Times New Roman" w:hAnsi="Times New Roman" w:cs="Times New Roman"/>
          <w:sz w:val="24"/>
          <w:szCs w:val="24"/>
        </w:rPr>
      </w:pPr>
    </w:p>
    <w:p w:rsidR="00825C9D" w:rsidRDefault="00825C9D" w:rsidP="00825C9D">
      <w:pPr>
        <w:pStyle w:val="NoSpacing"/>
      </w:pPr>
      <w:r>
        <w:t xml:space="preserve">Good morning Chairman Begich and members of the Subcommittee, and thank you for the opportunity to testify regarding reauthorization of the Magnuson-Stevens Fishery Conservation and Management Act (Magnuson-Stevens Act, or MSA).  I am the Executive Director of the North Pacific Fishery Management Council, where I have worked for 24 years, and I am honored to participate in this hearing and offer our perspectives on this important legislation.  Beginning last year with the Managing Our Nation’s Fisheries 3 national conference, and throughout the last few months, our Council has been engaged in the national dialogue surrounding reauthorization of the Act, and has developed a number of overarching perspectives relative to the pending reauthorization.  </w:t>
      </w:r>
      <w:r w:rsidR="00175EFE">
        <w:t xml:space="preserve"> These perspectives are based on our experiences stemming from the 2006 reauthorization, as well as the ongoing national dialogue, including our discussions with the other regional fishery management Councils through the Council Coordination Committee (CCC).</w:t>
      </w:r>
    </w:p>
    <w:p w:rsidR="00825C9D" w:rsidRDefault="00825C9D" w:rsidP="00825C9D">
      <w:pPr>
        <w:pStyle w:val="NoSpacing"/>
      </w:pPr>
    </w:p>
    <w:p w:rsidR="00175EFE" w:rsidRDefault="00825C9D" w:rsidP="00825C9D">
      <w:pPr>
        <w:pStyle w:val="NoSpacing"/>
      </w:pPr>
      <w:r>
        <w:t xml:space="preserve">The 2006 amendments to the MSA comprised a very ambitious, comprehensive, and powerful set of new requirements for fisheries management, primarily aimed at rebuilding and conserving fisheries through the mandate of Annual Catch Limits (ACLs) and the reliance on best scientific information in that pursuit.   </w:t>
      </w:r>
      <w:r w:rsidR="00795FF6">
        <w:t>Many of the requirements of the 2006 reauthorization were patterned after practices which have been in place for over 30 years in the North Pacific region, and we believe that these requirements have generally been a great success, as evidenced by significant reductions in the number of overfished stocks across the Nation.  However, t</w:t>
      </w:r>
      <w:r>
        <w:t xml:space="preserve">he 2006 amendments were not without pain and costs to the fishing industry, as is evidenced by </w:t>
      </w:r>
      <w:r w:rsidR="00175EFE">
        <w:t>the current suite of issues being discussed, and the introduction of various draft Bills over the past several months</w:t>
      </w:r>
      <w:r>
        <w:t xml:space="preserve"> aimed at modifying some of those provisions.  </w:t>
      </w:r>
      <w:r w:rsidR="00175EFE">
        <w:t xml:space="preserve">A primary focus for pending reauthorization appears to be flexibility in </w:t>
      </w:r>
      <w:r w:rsidR="00795FF6">
        <w:t xml:space="preserve">the </w:t>
      </w:r>
      <w:r w:rsidR="00175EFE">
        <w:t xml:space="preserve">ACL and stock rebuilding requirements implemented through the 2006 reauthorization.  </w:t>
      </w:r>
    </w:p>
    <w:p w:rsidR="00795FF6" w:rsidRDefault="00795FF6" w:rsidP="00825C9D">
      <w:pPr>
        <w:pStyle w:val="NoSpacing"/>
      </w:pPr>
    </w:p>
    <w:p w:rsidR="00680F94" w:rsidRDefault="00680F94" w:rsidP="00825C9D">
      <w:pPr>
        <w:pStyle w:val="NoSpacing"/>
      </w:pPr>
      <w:r>
        <w:t>The North Pacific Council believes that the current MSA provides a very successful framework for sustainable fisheries management, and major changes are not necessary at this time.  However, we also recognize the need for increased flexibility in some circumstances and we do not oppose amending the Act to provide for such flexibility, with som</w:t>
      </w:r>
      <w:r w:rsidR="00B04412">
        <w:t>e importan</w:t>
      </w:r>
      <w:r w:rsidR="002A7464">
        <w:t>t</w:t>
      </w:r>
      <w:r w:rsidR="00B04412">
        <w:t xml:space="preserve"> cautionary notes.  Following are some suggestions relative to primary issues being discussed in this reauthorization process:</w:t>
      </w:r>
    </w:p>
    <w:p w:rsidR="00B04412" w:rsidRDefault="00B04412" w:rsidP="00825C9D">
      <w:pPr>
        <w:pStyle w:val="NoSpacing"/>
      </w:pPr>
    </w:p>
    <w:p w:rsidR="00B04412" w:rsidRPr="00B04412" w:rsidRDefault="00B04412" w:rsidP="00825C9D">
      <w:pPr>
        <w:pStyle w:val="NoSpacing"/>
        <w:rPr>
          <w:u w:val="single"/>
        </w:rPr>
      </w:pPr>
      <w:r>
        <w:rPr>
          <w:u w:val="single"/>
        </w:rPr>
        <w:t>Flexibility in Annual Catch Limits and Stock Rebuilding</w:t>
      </w:r>
    </w:p>
    <w:p w:rsidR="00E333C3" w:rsidRDefault="00E333C3" w:rsidP="00825C9D">
      <w:pPr>
        <w:pStyle w:val="NoSpacing"/>
      </w:pPr>
    </w:p>
    <w:p w:rsidR="001C0815" w:rsidRDefault="001C0815" w:rsidP="00825C9D">
      <w:pPr>
        <w:pStyle w:val="NoSpacing"/>
      </w:pPr>
      <w:r>
        <w:t xml:space="preserve">Annual catch limits have been used in the North Pacific for over 30 years, and we believe that such limits are a cornerstone of sustainable fisheries management.  We also believe there are situations where some flexibility in the establishment of ACLs is warranted, particularly in the case of data poor stocks.  I can cite the North Pacific example two years ago where we were compelled to set an artificially low ACL for Pacific octopus based upon </w:t>
      </w:r>
      <w:r w:rsidR="00362DDD">
        <w:t>very limited historical information</w:t>
      </w:r>
      <w:r>
        <w:t xml:space="preserve">, rather than a robust stock assessment, </w:t>
      </w:r>
      <w:r w:rsidR="00362DDD">
        <w:t xml:space="preserve">and </w:t>
      </w:r>
      <w:r w:rsidR="00362DDD">
        <w:lastRenderedPageBreak/>
        <w:t>this artificially low ACL</w:t>
      </w:r>
      <w:r>
        <w:t xml:space="preserve"> resulted in closures of fisheries which take octopus incidentally.  This example underscores the need for robust stock surveys and assessments, which we believe should be a priority focus of any MSA reauthorization</w:t>
      </w:r>
      <w:r w:rsidRPr="001C0815">
        <w:rPr>
          <w:i/>
        </w:rPr>
        <w:t xml:space="preserve">. </w:t>
      </w:r>
    </w:p>
    <w:p w:rsidR="001C0815" w:rsidRDefault="001C0815" w:rsidP="00825C9D">
      <w:pPr>
        <w:pStyle w:val="NoSpacing"/>
      </w:pPr>
    </w:p>
    <w:p w:rsidR="001C0815" w:rsidRDefault="001C0815" w:rsidP="00825C9D">
      <w:pPr>
        <w:pStyle w:val="NoSpacing"/>
      </w:pPr>
      <w:r>
        <w:t xml:space="preserve">Consideration of </w:t>
      </w:r>
      <w:r w:rsidR="004F3423">
        <w:t xml:space="preserve">the </w:t>
      </w:r>
      <w:r>
        <w:t>economic needs of fishing communities</w:t>
      </w:r>
      <w:r w:rsidR="004F3423">
        <w:t xml:space="preserve"> is critical in the ACL setting process, and while the current MSA allows for such consideration, we recognize the desire for a more explicit allowance for these considerations.  </w:t>
      </w:r>
      <w:r w:rsidR="00DC15FE">
        <w:t>We must be careful however</w:t>
      </w:r>
      <w:r w:rsidR="00362DDD">
        <w:t>, not</w:t>
      </w:r>
      <w:r w:rsidR="00DC15FE">
        <w:t xml:space="preserve"> to  jeopardize long term fisheries sustainability, and associate</w:t>
      </w:r>
      <w:r w:rsidR="002A7464">
        <w:t>d</w:t>
      </w:r>
      <w:r w:rsidR="00DC15FE">
        <w:t xml:space="preserve"> community vitality, for the sake of short term job creation. </w:t>
      </w:r>
      <w:r w:rsidR="00BD22EE">
        <w:t>Accounting for uncertainty, articulating policies for acceptable risk</w:t>
      </w:r>
      <w:r w:rsidR="004F3423">
        <w:t>, and establishing the necessary precautionary buffers, is an explicit outcome of the ACL process, and we believe that the Councils’ Scientific and Statistical Committees (</w:t>
      </w:r>
      <w:r w:rsidR="009C3DD3">
        <w:t>SSCs) are the appropriate gatekeepers</w:t>
      </w:r>
      <w:r w:rsidR="004F3423">
        <w:t xml:space="preserve"> to establish the upper limits of ‘safe’ fishing mortality.  In that regard, from a perspective of national public policy, we are concerned with a potential relaxation of the ACL requirements which would allow Councils to set ACLs at the overfishing level (rather than the Acceptable Biological Catch, or ABC, level).  Setting ACLs at the overfishing level in essence assumes zero uncertainty</w:t>
      </w:r>
      <w:r w:rsidR="00362DDD">
        <w:t>, and harvesti</w:t>
      </w:r>
      <w:r w:rsidR="00BD002C">
        <w:t>ng at the overfishing level will, on average,</w:t>
      </w:r>
      <w:r w:rsidR="00362DDD">
        <w:t xml:space="preserve"> result in actual overfishing about half of the time.</w:t>
      </w:r>
      <w:r w:rsidR="004F3423">
        <w:t xml:space="preserve">  While such a change in the Act would likely not affect how we do business in the North Pacific, where ABC has</w:t>
      </w:r>
      <w:r w:rsidR="005927C9">
        <w:t xml:space="preserve"> always</w:t>
      </w:r>
      <w:r w:rsidR="004F3423">
        <w:t xml:space="preserve"> represented the upper limit of fishing mortality</w:t>
      </w:r>
      <w:r w:rsidR="005927C9">
        <w:t>, we do not believe such a relaxation would be responsible public policy.</w:t>
      </w:r>
    </w:p>
    <w:p w:rsidR="005927C9" w:rsidRDefault="005927C9" w:rsidP="00825C9D">
      <w:pPr>
        <w:pStyle w:val="NoSpacing"/>
      </w:pPr>
    </w:p>
    <w:p w:rsidR="005927C9" w:rsidRDefault="005927C9" w:rsidP="00825C9D">
      <w:pPr>
        <w:pStyle w:val="NoSpacing"/>
      </w:pPr>
      <w:r>
        <w:t>We would also like to note the potential for unintended consequences when making changes to</w:t>
      </w:r>
      <w:r w:rsidR="00D2760D">
        <w:t xml:space="preserve"> any of the</w:t>
      </w:r>
      <w:r>
        <w:t xml:space="preserve"> key provisions of the MSA. </w:t>
      </w:r>
      <w:r w:rsidR="00D2760D">
        <w:t xml:space="preserve">  Measures intended to address a problem in one area of the country can result in unnecessary, unintended consequences to other regions.  </w:t>
      </w:r>
      <w:r>
        <w:t xml:space="preserve">An example of general provisions resulting in substantial revisions to North Pacific fishery management (and nationwide), is in fact the implementation of ACLs required under the 2006 MSA reauthorization.  Recall that the 2006 additions to the MSA which implemented the ACL requirements were but a few sentences of statutory text (largely patterned after long-standing North Pacific practices), but that the implementation of the ACL requirements resulted in </w:t>
      </w:r>
      <w:r w:rsidR="00362DDD">
        <w:t>36</w:t>
      </w:r>
      <w:r>
        <w:t xml:space="preserve"> pages of ‘guidelines’, or regulatory text, from the National Marine Fisheries Service</w:t>
      </w:r>
      <w:r w:rsidR="00DC15FE">
        <w:t xml:space="preserve">.  </w:t>
      </w:r>
      <w:r>
        <w:t>In the case of the North Pacific, we had to undergo significant amendments to our Fishery Management Plans (FMPs) to comply with the letter of the ACL regulations, even though we have been successfully managing fisheries with strict annual catch limits for 30 years.  The guidelines as written also require us to develop additional amendments to our FMPs to more explicitly address uncertainty in stock status, even though we have robust stock assessments for most species, and uncertainty levels are incorporated in our stock assessments and setting of ACLs.  Finally, despite the lengthy and detailed guidelines which were developed, there is still debate over how to account for fish taken in research, stock assessment, and cooperative research under exempted fishing permits (EFPs).</w:t>
      </w:r>
      <w:r w:rsidR="00DC15FE">
        <w:t xml:space="preserve">  </w:t>
      </w:r>
    </w:p>
    <w:p w:rsidR="005927C9" w:rsidRDefault="005927C9" w:rsidP="00825C9D">
      <w:pPr>
        <w:pStyle w:val="NoSpacing"/>
      </w:pPr>
    </w:p>
    <w:p w:rsidR="00E333C3" w:rsidRDefault="00D2760D" w:rsidP="00825C9D">
      <w:pPr>
        <w:pStyle w:val="NoSpacing"/>
      </w:pPr>
      <w:r>
        <w:t xml:space="preserve">Many of these issues, as well as issues associated with stock rebuilding requirements, have the potential to be addressed to some extent through the current initiative by NMFS to revise the guidelines implementing National Standard 1 (i.e., revisions to the ACL and stock rebuilding requirements).  </w:t>
      </w:r>
      <w:r w:rsidR="00BD22EE">
        <w:t>While the</w:t>
      </w:r>
      <w:r w:rsidR="002A7464">
        <w:t xml:space="preserve"> </w:t>
      </w:r>
      <w:r>
        <w:t xml:space="preserve">final rule for these revisions is not scheduled to be complete until late in 2014, </w:t>
      </w:r>
      <w:r w:rsidR="00BD22EE">
        <w:t xml:space="preserve">it is important that </w:t>
      </w:r>
      <w:r w:rsidR="00D8597A">
        <w:t>reauthorization language is reflective and responsive to this important effort.</w:t>
      </w:r>
      <w:r w:rsidR="00845F11">
        <w:t xml:space="preserve"> </w:t>
      </w:r>
      <w:r>
        <w:t xml:space="preserve"> </w:t>
      </w:r>
    </w:p>
    <w:p w:rsidR="00E333C3" w:rsidRDefault="00E333C3" w:rsidP="00825C9D">
      <w:pPr>
        <w:pStyle w:val="NoSpacing"/>
      </w:pPr>
    </w:p>
    <w:p w:rsidR="000C1870" w:rsidRDefault="000C1870" w:rsidP="00825C9D">
      <w:pPr>
        <w:pStyle w:val="NoSpacing"/>
      </w:pPr>
      <w:r>
        <w:t>Regarding potential changes and increased flexibility for stock rebuilding plans, our Council supports further flexibility, particularly</w:t>
      </w:r>
      <w:r w:rsidR="00121A26">
        <w:t xml:space="preserve"> in cases where the 10 year rule does not make sense due to the particular aspects of the stock in question.  In some cases the somewhat arbitrary 10 year requirement can result in overly restrictive management measures, with unnecessary, negative economic impacts, with little or no conservation gain.  Allowing for rebuilding to occur in as short a time as “practicable”, as opposed to as short a time as “possible”, may be an appropriate mechanism for additional flexibility.</w:t>
      </w:r>
    </w:p>
    <w:p w:rsidR="00121A26" w:rsidRDefault="00121A26" w:rsidP="00825C9D">
      <w:pPr>
        <w:pStyle w:val="NoSpacing"/>
      </w:pPr>
    </w:p>
    <w:p w:rsidR="00121A26" w:rsidRDefault="00121A26" w:rsidP="00121A26">
      <w:pPr>
        <w:pStyle w:val="NoSpacing"/>
      </w:pPr>
      <w:r>
        <w:t xml:space="preserve">Associated with the rebuilding </w:t>
      </w:r>
      <w:r w:rsidR="002A7464">
        <w:t xml:space="preserve">issue </w:t>
      </w:r>
      <w:r>
        <w:t xml:space="preserve">is the definition of ‘overfished’.  In the North Pacific we have no overfished stocks, with the exception of Pribilof </w:t>
      </w:r>
      <w:r w:rsidR="002A7464">
        <w:t xml:space="preserve">Island </w:t>
      </w:r>
      <w:r>
        <w:t xml:space="preserve">Blue King Crab, a fishery for which there has </w:t>
      </w:r>
      <w:r>
        <w:lastRenderedPageBreak/>
        <w:t>been no allowable fishing for decades, and the species is only occasionally taken as bycatch in other fisheries.  Our Council has been faced with development of a rebuilding plan for this species, and the prospect of curtaili</w:t>
      </w:r>
      <w:r w:rsidR="005E3F72">
        <w:t>ng certain groundfish fisheries</w:t>
      </w:r>
      <w:r>
        <w:t xml:space="preserve"> because this is the only source of mortality we can affect, even though our analyses and </w:t>
      </w:r>
      <w:r w:rsidR="002A7464">
        <w:t xml:space="preserve">stock assessment </w:t>
      </w:r>
      <w:r>
        <w:t xml:space="preserve">models indicate that the expected </w:t>
      </w:r>
      <w:proofErr w:type="spellStart"/>
      <w:r>
        <w:t>bycatch</w:t>
      </w:r>
      <w:proofErr w:type="spellEnd"/>
      <w:r>
        <w:t xml:space="preserve"> savings will</w:t>
      </w:r>
      <w:r w:rsidR="00BD002C">
        <w:t xml:space="preserve"> not</w:t>
      </w:r>
      <w:r>
        <w:t xml:space="preserve"> </w:t>
      </w:r>
      <w:r w:rsidR="00362DDD">
        <w:t>increase</w:t>
      </w:r>
      <w:r>
        <w:t xml:space="preserve"> rebuilding success.  This example highlights the need to differentiate stocks for which an “overfished”</w:t>
      </w:r>
      <w:r w:rsidR="005E3F72">
        <w:t xml:space="preserve"> status has no</w:t>
      </w:r>
      <w:r>
        <w:t xml:space="preserve"> relation to fishing activities.  Replacing the term </w:t>
      </w:r>
      <w:r w:rsidR="005E3F72">
        <w:t xml:space="preserve">“overfished” with the term “depleted” </w:t>
      </w:r>
      <w:r w:rsidR="00971976">
        <w:t xml:space="preserve">or another term which denotes that stock status is not necessarily related to fishing activities </w:t>
      </w:r>
      <w:r w:rsidR="005E3F72">
        <w:t>may be an effective way to address this problem, noting however that the term “overfished” has definitive metrics associated with it</w:t>
      </w:r>
      <w:r w:rsidR="00971976">
        <w:t xml:space="preserve">. While more appropriate, any new term </w:t>
      </w:r>
      <w:r w:rsidR="005E3F72">
        <w:t>will need to be explicitly defined in order to be a measurable metric, and in order to avoid diluting the conservation goals associated with stock rebuilding.</w:t>
      </w:r>
    </w:p>
    <w:p w:rsidR="00EC029E" w:rsidRDefault="00EC029E" w:rsidP="00121A26">
      <w:pPr>
        <w:pStyle w:val="NoSpacing"/>
      </w:pPr>
    </w:p>
    <w:p w:rsidR="00EC029E" w:rsidRDefault="00EC029E" w:rsidP="00121A26">
      <w:pPr>
        <w:pStyle w:val="NoSpacing"/>
      </w:pPr>
      <w:r>
        <w:t xml:space="preserve">Overall, largely because we have the benefit of </w:t>
      </w:r>
      <w:r w:rsidR="00362DDD">
        <w:t xml:space="preserve">healthy  stocks and robust </w:t>
      </w:r>
      <w:r>
        <w:t>stock assessments for most species, we have not experienced the types of negative impacts that other regions appear to be having in complying with ACLs and rebuilding schedules.  In that vein, while we understand the need for some flexibility in the application of ACLs and rebuilding requirements, we believe it will be imperative to consider such changes cautiously, to not dilute the basic intent and benefit of ACLs, and to not lose ground in our success at rebuilding overfished stocks where rebuilding is feasible</w:t>
      </w:r>
      <w:r w:rsidR="00971976">
        <w:t xml:space="preserve"> and affected by fisheries management actions</w:t>
      </w:r>
      <w:r>
        <w:t>.</w:t>
      </w:r>
      <w:r w:rsidR="009C3DD3">
        <w:t xml:space="preserve">  </w:t>
      </w:r>
    </w:p>
    <w:p w:rsidR="00680F94" w:rsidRDefault="00680F94" w:rsidP="00825C9D">
      <w:pPr>
        <w:pStyle w:val="NoSpacing"/>
      </w:pPr>
    </w:p>
    <w:p w:rsidR="00B04412" w:rsidRPr="00B04412" w:rsidRDefault="00B04412" w:rsidP="00825C9D">
      <w:pPr>
        <w:pStyle w:val="NoSpacing"/>
        <w:rPr>
          <w:u w:val="single"/>
        </w:rPr>
      </w:pPr>
      <w:r w:rsidRPr="00B04412">
        <w:rPr>
          <w:u w:val="single"/>
        </w:rPr>
        <w:t>Limited Access Privilege Programs (LAPPs)</w:t>
      </w:r>
    </w:p>
    <w:p w:rsidR="00B04412" w:rsidRDefault="00B04412" w:rsidP="00825C9D">
      <w:pPr>
        <w:pStyle w:val="NoSpacing"/>
      </w:pPr>
    </w:p>
    <w:p w:rsidR="00825C9D" w:rsidRDefault="00825C9D" w:rsidP="00825C9D">
      <w:pPr>
        <w:pStyle w:val="NoSpacing"/>
      </w:pPr>
      <w:r>
        <w:t>The 2006 amendments to the MSA also put in place numerous requirements for the development of Limited Access Privilege Programs (LAPPs), requirements which apply to many of the ‘catch share’ programs being considered, or being developed, by Regional Fishery Management Councils around the U.S.  Catch share type programs, including sector allocations, license limitation programs, and individual transferrable quotas (ITQs), while not appropriate for all fisheries, represent a critically important tool for fisheries management and have been used extensively in North Pacific fisheries</w:t>
      </w:r>
      <w:r w:rsidR="00D21D5C">
        <w:t xml:space="preserve"> to reduce bycatch and increase target species landings and value</w:t>
      </w:r>
      <w:r>
        <w:t xml:space="preserve">.  </w:t>
      </w:r>
      <w:r w:rsidR="00E84BE7">
        <w:t xml:space="preserve">Most of the fisheries in the </w:t>
      </w:r>
      <w:r w:rsidR="00D21D5C">
        <w:t xml:space="preserve">Bering Sea </w:t>
      </w:r>
      <w:r w:rsidR="00E84BE7">
        <w:t xml:space="preserve"> operate under some form of ‘catch share’ or LAPP management, and all of these programs </w:t>
      </w:r>
      <w:r>
        <w:t xml:space="preserve">have been developed through an extensive, and inclusive, </w:t>
      </w:r>
      <w:r w:rsidR="00D21D5C">
        <w:t xml:space="preserve">transparent </w:t>
      </w:r>
      <w:r>
        <w:t>public process. We do not want to lose catch shares as a ma</w:t>
      </w:r>
      <w:r w:rsidR="00E84BE7">
        <w:t>nagement option in our tool box, and we believe that maximum flexibility in program design is essential</w:t>
      </w:r>
      <w:r w:rsidR="00D21D5C">
        <w:t xml:space="preserve"> </w:t>
      </w:r>
      <w:r w:rsidR="00E84BE7">
        <w:t>to tailor these programs to the specific character</w:t>
      </w:r>
      <w:r w:rsidR="00D21D5C">
        <w:t>i</w:t>
      </w:r>
      <w:r w:rsidR="00E84BE7">
        <w:t>stics of various fisheries.</w:t>
      </w:r>
    </w:p>
    <w:p w:rsidR="00E84BE7" w:rsidRDefault="00E84BE7" w:rsidP="00825C9D">
      <w:pPr>
        <w:pStyle w:val="NoSpacing"/>
      </w:pPr>
    </w:p>
    <w:p w:rsidR="00E84BE7" w:rsidRDefault="00E84BE7" w:rsidP="00825C9D">
      <w:pPr>
        <w:pStyle w:val="NoSpacing"/>
      </w:pPr>
      <w:r>
        <w:t>The current MSA contains extensive provisions for the design and analysis of LAPP programs, and we do not support additional requirements for referendums</w:t>
      </w:r>
      <w:r w:rsidR="008C4888">
        <w:t xml:space="preserve"> in the North Pacific</w:t>
      </w:r>
      <w:r>
        <w:t>, nor do we support automatic sunset dates as these can be counter to the basic premise of these programs, can be disruptive to both the design and implementation of such programs</w:t>
      </w:r>
      <w:r w:rsidR="00D8597A">
        <w:t xml:space="preserve">, and may weaken the </w:t>
      </w:r>
      <w:r w:rsidR="00DA340D">
        <w:t>achievement of long-term conservation benefits.</w:t>
      </w:r>
    </w:p>
    <w:p w:rsidR="00E84BE7" w:rsidRDefault="00E84BE7" w:rsidP="00825C9D">
      <w:pPr>
        <w:pStyle w:val="NoSpacing"/>
      </w:pPr>
    </w:p>
    <w:p w:rsidR="00E84BE7" w:rsidRDefault="00E84BE7" w:rsidP="00825C9D">
      <w:pPr>
        <w:pStyle w:val="NoSpacing"/>
      </w:pPr>
      <w:r>
        <w:rPr>
          <w:u w:val="single"/>
        </w:rPr>
        <w:t>Reconciling Statutes</w:t>
      </w:r>
    </w:p>
    <w:p w:rsidR="00E84BE7" w:rsidRDefault="00E84BE7" w:rsidP="00825C9D">
      <w:pPr>
        <w:pStyle w:val="NoSpacing"/>
      </w:pPr>
    </w:p>
    <w:p w:rsidR="00E84BE7" w:rsidRDefault="00E84BE7" w:rsidP="00825C9D">
      <w:pPr>
        <w:pStyle w:val="NoSpacing"/>
      </w:pPr>
      <w:r>
        <w:t>The MSA juxtaposes with several other important Acts, including the Endangered Species Act (ESA), the National Marine Sanctuaries Act (NMSA), the Regulatory Flexibility Act (RFA), and the National Environmental Policy Act (NEPA).  Additional clarity and regulatory streamlining can be accomplished through further clarification of the applicability and overlap of these various statutes.  In the case of the ESA, the eight regional Councils (through the Council Coordinating Committee), endorsed the report recently developed by the Marine Fisheries Advisory Committee (in consultation with members of the CCC)</w:t>
      </w:r>
      <w:r w:rsidR="00D560B3">
        <w:t xml:space="preserve"> which contained numerous recommendations to NOAA Fisheries regarding better coordination of that statute with the MSA, and a more robust participatory role for the Councils in the ESA consultation process and development of Biological Opinions affecting fisheries management.</w:t>
      </w:r>
    </w:p>
    <w:p w:rsidR="00D560B3" w:rsidRDefault="00D560B3" w:rsidP="00825C9D">
      <w:pPr>
        <w:pStyle w:val="NoSpacing"/>
      </w:pPr>
    </w:p>
    <w:p w:rsidR="00D560B3" w:rsidRDefault="00D560B3" w:rsidP="00825C9D">
      <w:pPr>
        <w:pStyle w:val="NoSpacing"/>
      </w:pPr>
      <w:r>
        <w:t xml:space="preserve">Regarding NEPA, the Councils have a long history of advocating for reconciliation of this Act with the MSA.  The MSA is arguably the most transparent, participatory regulatory process in existence, and while the MSA is ostensibly the guiding Act for fisheries management actions in the U.S., in fact it is NEPA which has become the vehicle for development of fishery management plans and associated regulations.  The current application of NEPA results in an unnecessarily burdensome, </w:t>
      </w:r>
      <w:r w:rsidR="009E2881">
        <w:t xml:space="preserve">overly expensive, </w:t>
      </w:r>
      <w:r>
        <w:t xml:space="preserve">and somewhat redundant, regulatory </w:t>
      </w:r>
      <w:r w:rsidR="009E2881">
        <w:t>process.</w:t>
      </w:r>
      <w:r>
        <w:t xml:space="preserve"> </w:t>
      </w:r>
      <w:r w:rsidR="00E65D58">
        <w:t xml:space="preserve">The NEPA process was never intended, and will never fit well, with the unique and dynamic nature of the fisheries management process. </w:t>
      </w:r>
      <w:r>
        <w:t>While the Councils are generally doing a very good job complying with this process</w:t>
      </w:r>
      <w:r w:rsidR="009E2881">
        <w:t xml:space="preserve"> and the requirements of NEPA</w:t>
      </w:r>
      <w:r>
        <w:t xml:space="preserve">, and that process is being memorialized within a Policy Directive currently being developed by NMFS, there remain opportunities for streamlining </w:t>
      </w:r>
      <w:r w:rsidR="009E2881">
        <w:t>and reconciling the Acts as was envisioned in the 2006 reauthorization process.</w:t>
      </w:r>
      <w:r w:rsidR="00E65D58">
        <w:t xml:space="preserve">  </w:t>
      </w:r>
      <w:r w:rsidR="009E2881">
        <w:t xml:space="preserve">We are not seeking to ‘exempt’ the fisheries management process from the underlying conservation intent of NEPA, but we believe that the process can be much better served by incorporating a few key provisions of NEPA within the MSA (for example, a more explicit requirement for environmental impact analysis, and an explicit requirement for the consideration of a reasonable range of </w:t>
      </w:r>
      <w:r w:rsidR="00BD002C">
        <w:t xml:space="preserve">(reasonable) </w:t>
      </w:r>
      <w:r w:rsidR="009E2881">
        <w:t xml:space="preserve">alternatives).  This would allow the MSA to once again be the central, guiding Act for fisheries management in the U.S., without sacrificing the underlying environmental protections intended by NEPA, and without sacrificing the opportunity for public input which is </w:t>
      </w:r>
      <w:r w:rsidR="00D21D5C">
        <w:t xml:space="preserve">already </w:t>
      </w:r>
      <w:r w:rsidR="009E2881">
        <w:t>amply provided for in the MSA</w:t>
      </w:r>
      <w:r w:rsidR="00D21D5C">
        <w:t xml:space="preserve"> and the Administrative Procedure Act</w:t>
      </w:r>
      <w:r w:rsidR="009E2881">
        <w:t>.</w:t>
      </w:r>
    </w:p>
    <w:p w:rsidR="00081BDE" w:rsidRDefault="00081BDE" w:rsidP="00825C9D">
      <w:pPr>
        <w:pStyle w:val="NoSpacing"/>
      </w:pPr>
    </w:p>
    <w:p w:rsidR="00081BDE" w:rsidRPr="00E84BE7" w:rsidRDefault="00081BDE" w:rsidP="00825C9D">
      <w:pPr>
        <w:pStyle w:val="NoSpacing"/>
      </w:pPr>
      <w:r>
        <w:t xml:space="preserve">The starkest </w:t>
      </w:r>
      <w:r w:rsidR="00D35702">
        <w:t xml:space="preserve">specific </w:t>
      </w:r>
      <w:r>
        <w:t>example of the</w:t>
      </w:r>
      <w:r w:rsidR="00D35702">
        <w:t xml:space="preserve"> general</w:t>
      </w:r>
      <w:r>
        <w:t xml:space="preserve"> over-application of NEPA probably remains that of the Council’s programmatic supplemental environmental impact statement (PSEIS), the 7,000 page document underpinning our Bering Sea and Aleutian Islands and Gulf of Alaska fishery management plans.  Based on agency guidance for NEPA compliance, we were compelled to analyze and consider a NO FISHING alternative – for a fishery which supplies over half the Nation’s seafood harvest, which for 30 years has been considered a model of sustainable management, </w:t>
      </w:r>
      <w:r w:rsidR="0028301A">
        <w:t xml:space="preserve">and </w:t>
      </w:r>
      <w:r>
        <w:t>where ABCs have totaled over 4 million metric tons for three decades</w:t>
      </w:r>
      <w:r w:rsidR="0028301A">
        <w:t>. Regardless of the stated purpose of the Council to conserve and manage fisheries</w:t>
      </w:r>
      <w:r>
        <w:t xml:space="preserve"> we were forced to spend considerable Council time and resources to analyze a</w:t>
      </w:r>
      <w:r w:rsidR="00362DDD">
        <w:t>n unreasonable</w:t>
      </w:r>
      <w:r w:rsidR="00BD002C">
        <w:t>, and misleading to the public,</w:t>
      </w:r>
      <w:r>
        <w:t xml:space="preserve"> </w:t>
      </w:r>
      <w:r w:rsidR="0028301A">
        <w:t xml:space="preserve">no </w:t>
      </w:r>
      <w:r>
        <w:t>fishing alternative.</w:t>
      </w:r>
    </w:p>
    <w:p w:rsidR="00825C9D" w:rsidRDefault="00825C9D" w:rsidP="00825C9D">
      <w:pPr>
        <w:pStyle w:val="NoSpacing"/>
      </w:pPr>
    </w:p>
    <w:p w:rsidR="00E65D58" w:rsidRDefault="00E65D58" w:rsidP="00825C9D">
      <w:pPr>
        <w:pStyle w:val="NoSpacing"/>
      </w:pPr>
      <w:r>
        <w:rPr>
          <w:u w:val="single"/>
        </w:rPr>
        <w:t>Transparency and Public Process</w:t>
      </w:r>
    </w:p>
    <w:p w:rsidR="00E65D58" w:rsidRDefault="00E65D58" w:rsidP="00825C9D">
      <w:pPr>
        <w:pStyle w:val="NoSpacing"/>
      </w:pPr>
    </w:p>
    <w:p w:rsidR="00E65D58" w:rsidRDefault="00E65D58" w:rsidP="00825C9D">
      <w:pPr>
        <w:pStyle w:val="NoSpacing"/>
      </w:pPr>
      <w:r>
        <w:t>As noted above, the MSA pr</w:t>
      </w:r>
      <w:r w:rsidR="00BD002C">
        <w:t xml:space="preserve">ovides for </w:t>
      </w:r>
      <w:r w:rsidR="00362DDD">
        <w:t>a very</w:t>
      </w:r>
      <w:r>
        <w:t xml:space="preserve"> transparent and participatory regulatory process.  With the current state of technology this is now true more than ever, as evidenced by the following: all </w:t>
      </w:r>
      <w:r w:rsidR="00DA340D">
        <w:t xml:space="preserve">North Pacific </w:t>
      </w:r>
      <w:r>
        <w:t>Council meetings are Webcast in real time;</w:t>
      </w:r>
      <w:r w:rsidR="00362DDD">
        <w:t xml:space="preserve"> all </w:t>
      </w:r>
      <w:r w:rsidR="00DA340D">
        <w:t xml:space="preserve">of its </w:t>
      </w:r>
      <w:r w:rsidR="00362DDD">
        <w:t xml:space="preserve">meeting materials are posted and publicly available; </w:t>
      </w:r>
      <w:r>
        <w:t xml:space="preserve"> full, easily accessible, searchable audio transcripts are maintained </w:t>
      </w:r>
      <w:r w:rsidR="00AF22B0">
        <w:t xml:space="preserve">and available to the public </w:t>
      </w:r>
      <w:r>
        <w:t xml:space="preserve">for all </w:t>
      </w:r>
      <w:r w:rsidR="00DA340D">
        <w:t xml:space="preserve">North Pacific </w:t>
      </w:r>
      <w:r>
        <w:t xml:space="preserve">Council meetings; summary minutes are developed for each Council meeting which include key discussion points and all motions adopted by the Council; and, newsletters are developed and publicly available </w:t>
      </w:r>
      <w:r w:rsidR="00AF22B0">
        <w:t xml:space="preserve">immediately </w:t>
      </w:r>
      <w:r>
        <w:t xml:space="preserve">following each Council meeting which provide detailed summaries of all actions taken by the Council.  For SSC meetings in the North Pacific, detailed minutes </w:t>
      </w:r>
      <w:r w:rsidR="00AF22B0">
        <w:t xml:space="preserve">of each meeting </w:t>
      </w:r>
      <w:r>
        <w:t xml:space="preserve">are developed </w:t>
      </w:r>
      <w:r w:rsidR="00AF22B0">
        <w:t>and available to the public by the end of the meeting</w:t>
      </w:r>
      <w:r>
        <w:t>.</w:t>
      </w:r>
    </w:p>
    <w:p w:rsidR="00E65D58" w:rsidRDefault="00E65D58" w:rsidP="00825C9D">
      <w:pPr>
        <w:pStyle w:val="NoSpacing"/>
      </w:pPr>
    </w:p>
    <w:p w:rsidR="00B84B03" w:rsidRDefault="00E65D58" w:rsidP="00825C9D">
      <w:pPr>
        <w:pStyle w:val="NoSpacing"/>
      </w:pPr>
      <w:r>
        <w:t>Proposed requirements for videotaping</w:t>
      </w:r>
      <w:r w:rsidR="00B6461F">
        <w:t xml:space="preserve"> all Council and SSC meetings, and for full written transcripts of all Council and SSC meetings (and potentially Advisory Panel meetings as well) are an unnecessary burden with little or no marginal benefit in terms of public access, transparency, or administrative record.  In the case of the North Pacific, with five to six meetings per year</w:t>
      </w:r>
      <w:r w:rsidR="009C3DD3">
        <w:t xml:space="preserve"> at seven days each (along with SSC and AP meetings</w:t>
      </w:r>
      <w:r w:rsidR="00AF22B0">
        <w:t>, which</w:t>
      </w:r>
      <w:r w:rsidR="00BD002C">
        <w:t xml:space="preserve"> expands it to 15 overall meeting days</w:t>
      </w:r>
      <w:r w:rsidR="009C3DD3">
        <w:t>) such a requirement would cost into the hundreds of thousands of dollars, which does not make sense at a time of shrinking Council budgets and overall fiscal constraint</w:t>
      </w:r>
      <w:r w:rsidR="004D261C">
        <w:t>.  The current practice of</w:t>
      </w:r>
      <w:r w:rsidR="009C3DD3">
        <w:t xml:space="preserve"> Webcasting and full, searchable audio transcripts</w:t>
      </w:r>
      <w:r w:rsidR="004D261C">
        <w:t xml:space="preserve"> provides the public with a much more useful avenue of access</w:t>
      </w:r>
      <w:r w:rsidR="00AF22B0">
        <w:t>,</w:t>
      </w:r>
      <w:r w:rsidR="004D261C">
        <w:t xml:space="preserve"> and it is likely that stacks upon stacks of written transcripts would go unused and provide very little additional value to the public.</w:t>
      </w:r>
      <w:r w:rsidR="00362DDD">
        <w:t xml:space="preserve"> In addition, a </w:t>
      </w:r>
      <w:r w:rsidR="00362DDD">
        <w:lastRenderedPageBreak/>
        <w:t xml:space="preserve">requirement for </w:t>
      </w:r>
      <w:r w:rsidR="0054506A">
        <w:t>videotaping</w:t>
      </w:r>
      <w:r w:rsidR="00362DDD">
        <w:t xml:space="preserve"> may require the Council to no longer meet in </w:t>
      </w:r>
      <w:r w:rsidR="0004382B">
        <w:t xml:space="preserve">remote </w:t>
      </w:r>
      <w:r w:rsidR="00362DDD">
        <w:t>fishing communities where there may be limited bandwidth available</w:t>
      </w:r>
      <w:r w:rsidR="0004382B">
        <w:t xml:space="preserve">, and thus may be counter to the intent of a videotaping requirement. </w:t>
      </w:r>
    </w:p>
    <w:p w:rsidR="004D261C" w:rsidRDefault="004D261C" w:rsidP="00825C9D">
      <w:pPr>
        <w:pStyle w:val="NoSpacing"/>
      </w:pPr>
    </w:p>
    <w:p w:rsidR="004D261C" w:rsidRDefault="004D261C" w:rsidP="00825C9D">
      <w:pPr>
        <w:pStyle w:val="NoSpacing"/>
      </w:pPr>
      <w:r>
        <w:rPr>
          <w:u w:val="single"/>
        </w:rPr>
        <w:t>Data collection and confidentiality</w:t>
      </w:r>
    </w:p>
    <w:p w:rsidR="004D261C" w:rsidRDefault="004D261C" w:rsidP="00825C9D">
      <w:pPr>
        <w:pStyle w:val="NoSpacing"/>
      </w:pPr>
    </w:p>
    <w:p w:rsidR="004D261C" w:rsidRDefault="00081BDE" w:rsidP="00825C9D">
      <w:pPr>
        <w:pStyle w:val="NoSpacing"/>
      </w:pPr>
      <w:r>
        <w:t xml:space="preserve">Numerous changes to the data collection and confidentiality provisions to MSA have recently been part of the national reauthorization dialogue.  While I will not attempt to address these proposals specifically, I can comment generally that the current data confidentiality provisions are </w:t>
      </w:r>
      <w:r w:rsidR="00684F01">
        <w:t xml:space="preserve">generally </w:t>
      </w:r>
      <w:r>
        <w:t xml:space="preserve">working quite well.  </w:t>
      </w:r>
      <w:r w:rsidR="00684F01">
        <w:t xml:space="preserve">The North Pacific Council has numerous data collection initiatives (in addition to observer information or other routinely collected fisheries information) associated primarily with the implementation of catch share programs in our fisheries.  Information from these data collection programs is essential to program reviews and to our ongoing management, but it also contains sensitive cost and other operational information from the fleet, much of which must be aggregated </w:t>
      </w:r>
      <w:r w:rsidR="00AF22B0">
        <w:t xml:space="preserve">(up to three entities) </w:t>
      </w:r>
      <w:r w:rsidR="00684F01">
        <w:t>before public release.  NMFS is also currently in the process of final rulemaking (pending publication) related to currently existing confidentiality provisions.  In a recent letter to the NMFS Assistant Administrator, our Council stressed the importance of maintaining thes</w:t>
      </w:r>
      <w:r w:rsidR="00B0100B">
        <w:t>e provisions in order to prevent the erosion of the cooperation and goodwill of the fishing industry</w:t>
      </w:r>
      <w:r w:rsidR="00AF22B0">
        <w:t xml:space="preserve"> and to ensure we can continue to use the North Pacific data collection system developed and maintained with the State of Alaska, which requires similar aggregation rules to maintain confidentiality</w:t>
      </w:r>
      <w:r w:rsidR="00B0100B">
        <w:t>.  In summary, we stressed the need to maintain appropriate confidentiality measures, except where Congress has expressly intended otherwise.</w:t>
      </w:r>
    </w:p>
    <w:p w:rsidR="00B0100B" w:rsidRDefault="00B0100B" w:rsidP="00825C9D">
      <w:pPr>
        <w:pStyle w:val="NoSpacing"/>
      </w:pPr>
    </w:p>
    <w:p w:rsidR="00B0100B" w:rsidRDefault="00B0100B" w:rsidP="00825C9D">
      <w:pPr>
        <w:pStyle w:val="NoSpacing"/>
      </w:pPr>
      <w:r>
        <w:t xml:space="preserve">Conversely, there are provisions </w:t>
      </w:r>
      <w:r w:rsidR="00B65344">
        <w:t xml:space="preserve">specific to the North Pacific </w:t>
      </w:r>
      <w:r>
        <w:t>in the current MSA which do allow otherwise confidential observer information to be made public.  For example, section 402(b)(2)(A) specifically allows the Council to disclose weekly summary bycatch information identified by vessel, or haul-specific information without vessel identification.  Such information allows us to identify ‘poor performer</w:t>
      </w:r>
      <w:r w:rsidR="00B65344">
        <w:t>s</w:t>
      </w:r>
      <w:r>
        <w:t xml:space="preserve">’ related to salmon bycatch in </w:t>
      </w:r>
      <w:r w:rsidR="00B65344">
        <w:t xml:space="preserve">Bering Sea </w:t>
      </w:r>
      <w:r>
        <w:t xml:space="preserve">trawl fisheries, for example, and to remove this allowance for disclosure would be counter to the Council’s policy intent and goals with regard to </w:t>
      </w:r>
      <w:r w:rsidR="00DA340D">
        <w:t xml:space="preserve">transparency, accountability, and </w:t>
      </w:r>
      <w:r>
        <w:t>minimizing bycatch to the extent practicable.</w:t>
      </w:r>
    </w:p>
    <w:p w:rsidR="004D261C" w:rsidRDefault="004D261C" w:rsidP="00825C9D">
      <w:pPr>
        <w:pStyle w:val="NoSpacing"/>
      </w:pPr>
    </w:p>
    <w:p w:rsidR="004D261C" w:rsidRDefault="004D261C" w:rsidP="00825C9D">
      <w:pPr>
        <w:pStyle w:val="NoSpacing"/>
      </w:pPr>
      <w:r>
        <w:rPr>
          <w:u w:val="single"/>
        </w:rPr>
        <w:t>Electronic Monitoring</w:t>
      </w:r>
    </w:p>
    <w:p w:rsidR="004D261C" w:rsidRDefault="004D261C" w:rsidP="00825C9D">
      <w:pPr>
        <w:pStyle w:val="NoSpacing"/>
      </w:pPr>
    </w:p>
    <w:p w:rsidR="004D261C" w:rsidRDefault="00E30D6B" w:rsidP="00825C9D">
      <w:pPr>
        <w:pStyle w:val="NoSpacing"/>
      </w:pPr>
      <w:r>
        <w:t>The use of Electronic Monitoring (EM), particularly the use of video cameras in lieu of human observers, continues to be a high priority for the North Pacific Council and the North Pacific fishing industry</w:t>
      </w:r>
      <w:r w:rsidR="00B65344">
        <w:t>, and an EM strategic plan was developed in the past year to guide those efforts</w:t>
      </w:r>
      <w:r>
        <w:t>.  This is especially true for the small boat, fixed gear fleet</w:t>
      </w:r>
      <w:r w:rsidR="0004382B">
        <w:t>,</w:t>
      </w:r>
      <w:r>
        <w:t xml:space="preserve"> many of whom are now subject to partial observer coverage requirements under the Council’</w:t>
      </w:r>
      <w:r w:rsidR="00B65344">
        <w:t>s</w:t>
      </w:r>
      <w:r>
        <w:t xml:space="preserve"> restructured groundfish and halibut observer program.  The North Pacific Council is working diligently with the Alaska Region of NMFS, the Alaska Fisheries Science Center, and the small boat fishing sector to expedite the implementation of EM in our fisheries.  In addition to a number of EM pilot projects </w:t>
      </w:r>
      <w:r w:rsidR="00B65344">
        <w:t xml:space="preserve">and collaborative research </w:t>
      </w:r>
      <w:r>
        <w:t>ongoing in 2014 (some of which are funded through grants from the National Fish and Wildlife Foundation), the Council is forming an EM Workgroup to provide a forum for the development of performance standards, and for the design and testing of alternative EM systems for various applications.  While EM will never be a full substitute for human observers, there are numerous potential applications, including discard monitoring as a primary first goal, and ultimately as an integral part of the overall catch accounting system.</w:t>
      </w:r>
    </w:p>
    <w:p w:rsidR="00E30D6B" w:rsidRDefault="00E30D6B" w:rsidP="00825C9D">
      <w:pPr>
        <w:pStyle w:val="NoSpacing"/>
      </w:pPr>
    </w:p>
    <w:p w:rsidR="00E30D6B" w:rsidRDefault="00E30D6B" w:rsidP="00825C9D">
      <w:pPr>
        <w:pStyle w:val="NoSpacing"/>
      </w:pPr>
      <w:r>
        <w:t xml:space="preserve">EM development is also a high priority at the National level, with NOAA Fisheries in the midst of developing both a National EM policy as well as regional implementation plans.  </w:t>
      </w:r>
      <w:r w:rsidR="00B33826">
        <w:t>With the collective, ongoing efforts relative to EM, it is unclear that additional statutory provisions are necessary at this time</w:t>
      </w:r>
      <w:r w:rsidR="00B65344">
        <w:t xml:space="preserve"> to move forward. </w:t>
      </w:r>
      <w:r w:rsidR="00B33826">
        <w:t xml:space="preserve"> </w:t>
      </w:r>
      <w:r w:rsidR="00B65344">
        <w:t>H</w:t>
      </w:r>
      <w:r w:rsidR="00B33826">
        <w:t xml:space="preserve">owever, the North Pacific Council does not oppose provisions that would enhance EM </w:t>
      </w:r>
      <w:r w:rsidR="00DD72CB">
        <w:t xml:space="preserve">development and implementation, if </w:t>
      </w:r>
      <w:r w:rsidR="00B33826">
        <w:t xml:space="preserve">such provisions are posed as optional tools, with realistic </w:t>
      </w:r>
      <w:r w:rsidR="00B33826">
        <w:lastRenderedPageBreak/>
        <w:t xml:space="preserve">timelines, as opposed to specific mandates with unrealistic timelines.  Finally, our Council would be opposed to any statutory requirements which prohibit the use of EM for law enforcement </w:t>
      </w:r>
      <w:r w:rsidR="00B65344">
        <w:t xml:space="preserve">or compliance </w:t>
      </w:r>
      <w:r w:rsidR="00B33826">
        <w:t xml:space="preserve">purposes (which could, for example, preclude compliance monitoring for retention/discard requirements, one of the </w:t>
      </w:r>
      <w:r w:rsidR="00B65344">
        <w:t>current uses of EM in the North Pacific on large trawl vessels and likely a more cost-effective means of monitoring for other fisheries in the future</w:t>
      </w:r>
      <w:r w:rsidR="00BD002C">
        <w:t>, particularly the small boat, fixed gear fleet</w:t>
      </w:r>
      <w:r w:rsidR="00B65344">
        <w:t xml:space="preserve">). </w:t>
      </w:r>
    </w:p>
    <w:p w:rsidR="004D261C" w:rsidRDefault="004D261C" w:rsidP="00825C9D">
      <w:pPr>
        <w:pStyle w:val="NoSpacing"/>
      </w:pPr>
    </w:p>
    <w:p w:rsidR="004B2576" w:rsidRDefault="004B2576" w:rsidP="00825C9D">
      <w:pPr>
        <w:pStyle w:val="NoSpacing"/>
      </w:pPr>
      <w:r>
        <w:rPr>
          <w:u w:val="single"/>
        </w:rPr>
        <w:t>North Pacific Management Clarification</w:t>
      </w:r>
    </w:p>
    <w:p w:rsidR="004B2576" w:rsidRDefault="004B2576" w:rsidP="00825C9D">
      <w:pPr>
        <w:pStyle w:val="NoSpacing"/>
      </w:pPr>
    </w:p>
    <w:p w:rsidR="004B2576" w:rsidRDefault="004B2576" w:rsidP="00825C9D">
      <w:pPr>
        <w:pStyle w:val="NoSpacing"/>
      </w:pPr>
      <w:r>
        <w:t xml:space="preserve">Section 306(a)(3)(C) contains provisions related to State jurisdiction to manage fishing activity in the absence of a federal fishery management plan.  Removal of the August 1, 1996 date in this paragraph </w:t>
      </w:r>
      <w:r w:rsidR="00B65344">
        <w:t xml:space="preserve">would </w:t>
      </w:r>
      <w:r>
        <w:t>close a potential loophole which could theoretically allow unrestricted fishing for salmon in EEZ areas off Alaska</w:t>
      </w:r>
      <w:r w:rsidR="00B65344">
        <w:t xml:space="preserve"> by vessels not registered with the State of Alaska</w:t>
      </w:r>
      <w:r>
        <w:t>, due to the removal of these areas from the Council’s overarching salmon fishery management plan.  The Council supports this change, thereby allowing regulation of fishing in these areas by the State of Alaska</w:t>
      </w:r>
      <w:r w:rsidR="00B65344">
        <w:t>, as intended</w:t>
      </w:r>
      <w:r>
        <w:t>.</w:t>
      </w:r>
    </w:p>
    <w:p w:rsidR="004B2576" w:rsidRPr="004B2576" w:rsidRDefault="004B2576" w:rsidP="00825C9D">
      <w:pPr>
        <w:pStyle w:val="NoSpacing"/>
      </w:pPr>
    </w:p>
    <w:p w:rsidR="004D261C" w:rsidRDefault="004D261C" w:rsidP="00825C9D">
      <w:pPr>
        <w:pStyle w:val="NoSpacing"/>
      </w:pPr>
      <w:r>
        <w:rPr>
          <w:u w:val="single"/>
        </w:rPr>
        <w:t>General comments</w:t>
      </w:r>
    </w:p>
    <w:p w:rsidR="004D261C" w:rsidRDefault="004D261C" w:rsidP="00825C9D">
      <w:pPr>
        <w:pStyle w:val="NoSpacing"/>
      </w:pPr>
    </w:p>
    <w:p w:rsidR="004D261C" w:rsidRDefault="00B0100B" w:rsidP="00825C9D">
      <w:pPr>
        <w:pStyle w:val="NoSpacing"/>
      </w:pPr>
      <w:r>
        <w:t>I would like to close by providing the Committee with some summary thoughts regarding the reauthorization process.  These represent some general ten</w:t>
      </w:r>
      <w:r w:rsidR="00B65344">
        <w:t>e</w:t>
      </w:r>
      <w:r>
        <w:t xml:space="preserve">ts which we believe should </w:t>
      </w:r>
      <w:r w:rsidR="00A020A5">
        <w:t xml:space="preserve">be </w:t>
      </w:r>
      <w:r>
        <w:t>considered relative to any change in the MSA:</w:t>
      </w:r>
    </w:p>
    <w:p w:rsidR="00B0100B" w:rsidRDefault="00B0100B" w:rsidP="00825C9D">
      <w:pPr>
        <w:pStyle w:val="NoSpacing"/>
      </w:pPr>
    </w:p>
    <w:p w:rsidR="00B0100B" w:rsidRDefault="00747B90" w:rsidP="00B0100B">
      <w:pPr>
        <w:pStyle w:val="NoSpacing"/>
        <w:numPr>
          <w:ilvl w:val="0"/>
          <w:numId w:val="1"/>
        </w:numPr>
      </w:pPr>
      <w:r>
        <w:t>Avoid across the board mandates which could negatively affect one region in order to address a problem in another region.  Make provisions region-specific where necessary, or couch them as optional tools in the management toolbox rather than mandates.</w:t>
      </w:r>
    </w:p>
    <w:p w:rsidR="00747B90" w:rsidRDefault="00747B90" w:rsidP="00B0100B">
      <w:pPr>
        <w:pStyle w:val="NoSpacing"/>
        <w:numPr>
          <w:ilvl w:val="0"/>
          <w:numId w:val="1"/>
        </w:numPr>
      </w:pPr>
      <w:r>
        <w:t>Legislation should allow for flexibility in achieving conservation objectives, but be specific enough to avoid lengthy, complex implementing regulations or ‘guidelines’.</w:t>
      </w:r>
    </w:p>
    <w:p w:rsidR="00747B90" w:rsidRDefault="00747B90" w:rsidP="00B0100B">
      <w:pPr>
        <w:pStyle w:val="NoSpacing"/>
        <w:numPr>
          <w:ilvl w:val="0"/>
          <w:numId w:val="1"/>
        </w:numPr>
      </w:pPr>
      <w:r>
        <w:t>Legislation should be in the form o</w:t>
      </w:r>
      <w:r w:rsidR="002E20C9">
        <w:t>f</w:t>
      </w:r>
      <w:r>
        <w:t xml:space="preserve"> intended outcomes, rather than prescriptive management or scientific parameters.</w:t>
      </w:r>
    </w:p>
    <w:p w:rsidR="00747B90" w:rsidRDefault="00747B90" w:rsidP="00B0100B">
      <w:pPr>
        <w:pStyle w:val="NoSpacing"/>
        <w:numPr>
          <w:ilvl w:val="0"/>
          <w:numId w:val="1"/>
        </w:numPr>
      </w:pPr>
      <w:r>
        <w:t>Legislation should avoid unrealistic/expensive analytical mandates relative to implementing fishery closures or other management actions.</w:t>
      </w:r>
    </w:p>
    <w:p w:rsidR="00747B90" w:rsidRDefault="00747B90" w:rsidP="00B0100B">
      <w:pPr>
        <w:pStyle w:val="NoSpacing"/>
        <w:numPr>
          <w:ilvl w:val="0"/>
          <w:numId w:val="1"/>
        </w:numPr>
      </w:pPr>
      <w:r>
        <w:t>Legislation should avoid constraints that limit the flexibility of Councils and NMFS to respond to changing climates and shifting ecosystems.</w:t>
      </w:r>
    </w:p>
    <w:p w:rsidR="00747B90" w:rsidRDefault="00747B90" w:rsidP="00B0100B">
      <w:pPr>
        <w:pStyle w:val="NoSpacing"/>
        <w:numPr>
          <w:ilvl w:val="0"/>
          <w:numId w:val="1"/>
        </w:numPr>
      </w:pPr>
      <w:r>
        <w:t>Avoid unfunded mandates, and/or ensure that Councils and NMFS have the resources to respond to provisions of legislation.</w:t>
      </w:r>
    </w:p>
    <w:p w:rsidR="00747B90" w:rsidRDefault="00747B90" w:rsidP="00B0100B">
      <w:pPr>
        <w:pStyle w:val="NoSpacing"/>
        <w:numPr>
          <w:ilvl w:val="0"/>
          <w:numId w:val="1"/>
        </w:numPr>
      </w:pPr>
      <w:r>
        <w:t>Preservation and enhancement of stock assessments</w:t>
      </w:r>
      <w:r w:rsidR="0004382B">
        <w:t xml:space="preserve"> and surveys</w:t>
      </w:r>
      <w:r>
        <w:t xml:space="preserve"> should be among the highest priorities when considering any changes to the Act.</w:t>
      </w:r>
    </w:p>
    <w:p w:rsidR="00A020A5" w:rsidRDefault="00A020A5" w:rsidP="00A020A5">
      <w:pPr>
        <w:pStyle w:val="NoSpacing"/>
      </w:pPr>
    </w:p>
    <w:p w:rsidR="00A020A5" w:rsidRPr="004D261C" w:rsidRDefault="00A020A5" w:rsidP="00A020A5">
      <w:pPr>
        <w:pStyle w:val="NoSpacing"/>
      </w:pPr>
      <w:r>
        <w:t>Once again, thank you for the opportunity to provide these comments to you on behalf of the North Pacific Fishery Management Council, and I look forward to our continued dialogue on these critically important issues.</w:t>
      </w:r>
    </w:p>
    <w:p w:rsidR="00825C9D" w:rsidRDefault="00825C9D" w:rsidP="00825C9D">
      <w:pPr>
        <w:pStyle w:val="NoSpacing"/>
      </w:pPr>
    </w:p>
    <w:p w:rsidR="00FD3C42" w:rsidRPr="00FD3C42" w:rsidRDefault="00FD3C42" w:rsidP="00FD3C42">
      <w:pPr>
        <w:rPr>
          <w:rFonts w:ascii="Times New Roman" w:hAnsi="Times New Roman" w:cs="Times New Roman"/>
          <w:sz w:val="24"/>
          <w:szCs w:val="24"/>
        </w:rPr>
      </w:pPr>
    </w:p>
    <w:sectPr w:rsidR="00FD3C42" w:rsidRPr="00FD3C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03" w:rsidRDefault="00B84B03" w:rsidP="00B84B03">
      <w:pPr>
        <w:spacing w:after="0" w:line="240" w:lineRule="auto"/>
      </w:pPr>
      <w:r>
        <w:separator/>
      </w:r>
    </w:p>
  </w:endnote>
  <w:endnote w:type="continuationSeparator" w:id="0">
    <w:p w:rsidR="00B84B03" w:rsidRDefault="00B84B03" w:rsidP="00B8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99557"/>
      <w:docPartObj>
        <w:docPartGallery w:val="Page Numbers (Bottom of Page)"/>
        <w:docPartUnique/>
      </w:docPartObj>
    </w:sdtPr>
    <w:sdtEndPr>
      <w:rPr>
        <w:noProof/>
      </w:rPr>
    </w:sdtEndPr>
    <w:sdtContent>
      <w:p w:rsidR="00B84B03" w:rsidRDefault="00B84B03">
        <w:pPr>
          <w:pStyle w:val="Footer"/>
          <w:jc w:val="right"/>
        </w:pPr>
        <w:r w:rsidRPr="00982E86">
          <w:rPr>
            <w:rFonts w:ascii="Times New Roman" w:hAnsi="Times New Roman" w:cs="Times New Roman"/>
            <w:sz w:val="20"/>
            <w:szCs w:val="20"/>
          </w:rPr>
          <w:fldChar w:fldCharType="begin"/>
        </w:r>
        <w:r w:rsidRPr="00982E86">
          <w:rPr>
            <w:rFonts w:ascii="Times New Roman" w:hAnsi="Times New Roman" w:cs="Times New Roman"/>
            <w:sz w:val="20"/>
            <w:szCs w:val="20"/>
          </w:rPr>
          <w:instrText xml:space="preserve"> PAGE   \* MERGEFORMAT </w:instrText>
        </w:r>
        <w:r w:rsidRPr="00982E86">
          <w:rPr>
            <w:rFonts w:ascii="Times New Roman" w:hAnsi="Times New Roman" w:cs="Times New Roman"/>
            <w:sz w:val="20"/>
            <w:szCs w:val="20"/>
          </w:rPr>
          <w:fldChar w:fldCharType="separate"/>
        </w:r>
        <w:r w:rsidR="002627FE">
          <w:rPr>
            <w:rFonts w:ascii="Times New Roman" w:hAnsi="Times New Roman" w:cs="Times New Roman"/>
            <w:noProof/>
            <w:sz w:val="20"/>
            <w:szCs w:val="20"/>
          </w:rPr>
          <w:t>2</w:t>
        </w:r>
        <w:r w:rsidRPr="00982E86">
          <w:rPr>
            <w:rFonts w:ascii="Times New Roman" w:hAnsi="Times New Roman" w:cs="Times New Roman"/>
            <w:noProof/>
            <w:sz w:val="20"/>
            <w:szCs w:val="20"/>
          </w:rPr>
          <w:fldChar w:fldCharType="end"/>
        </w:r>
      </w:p>
    </w:sdtContent>
  </w:sdt>
  <w:p w:rsidR="00B84B03" w:rsidRDefault="00B84B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03" w:rsidRDefault="00B84B03" w:rsidP="00B84B03">
      <w:pPr>
        <w:spacing w:after="0" w:line="240" w:lineRule="auto"/>
      </w:pPr>
      <w:r>
        <w:separator/>
      </w:r>
    </w:p>
  </w:footnote>
  <w:footnote w:type="continuationSeparator" w:id="0">
    <w:p w:rsidR="00B84B03" w:rsidRDefault="00B84B03" w:rsidP="00B84B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A2E29"/>
    <w:multiLevelType w:val="hybridMultilevel"/>
    <w:tmpl w:val="4ED479E2"/>
    <w:lvl w:ilvl="0" w:tplc="F258D8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42"/>
    <w:rsid w:val="0004382B"/>
    <w:rsid w:val="00081BDE"/>
    <w:rsid w:val="000C1870"/>
    <w:rsid w:val="00106CCA"/>
    <w:rsid w:val="00121A26"/>
    <w:rsid w:val="00175EFE"/>
    <w:rsid w:val="001C0815"/>
    <w:rsid w:val="001E4081"/>
    <w:rsid w:val="002627FE"/>
    <w:rsid w:val="0028301A"/>
    <w:rsid w:val="002A7464"/>
    <w:rsid w:val="002E20C9"/>
    <w:rsid w:val="00362DDD"/>
    <w:rsid w:val="004A0A7A"/>
    <w:rsid w:val="004B2576"/>
    <w:rsid w:val="004D261C"/>
    <w:rsid w:val="004F3423"/>
    <w:rsid w:val="0054506A"/>
    <w:rsid w:val="005927C9"/>
    <w:rsid w:val="005B2EF7"/>
    <w:rsid w:val="005E3F72"/>
    <w:rsid w:val="00623775"/>
    <w:rsid w:val="00680F94"/>
    <w:rsid w:val="00684F01"/>
    <w:rsid w:val="00696360"/>
    <w:rsid w:val="00715ACF"/>
    <w:rsid w:val="00747B90"/>
    <w:rsid w:val="00795FF6"/>
    <w:rsid w:val="00825C9D"/>
    <w:rsid w:val="00845F11"/>
    <w:rsid w:val="008A1F24"/>
    <w:rsid w:val="008C4888"/>
    <w:rsid w:val="008E78DF"/>
    <w:rsid w:val="009032AA"/>
    <w:rsid w:val="0092598F"/>
    <w:rsid w:val="00971976"/>
    <w:rsid w:val="00982E86"/>
    <w:rsid w:val="009C3DD3"/>
    <w:rsid w:val="009C4A5C"/>
    <w:rsid w:val="009E2881"/>
    <w:rsid w:val="00A020A5"/>
    <w:rsid w:val="00AF22B0"/>
    <w:rsid w:val="00B0100B"/>
    <w:rsid w:val="00B04412"/>
    <w:rsid w:val="00B33826"/>
    <w:rsid w:val="00B6461F"/>
    <w:rsid w:val="00B65344"/>
    <w:rsid w:val="00B84B03"/>
    <w:rsid w:val="00BD002C"/>
    <w:rsid w:val="00BD22EE"/>
    <w:rsid w:val="00BE1474"/>
    <w:rsid w:val="00D21D5C"/>
    <w:rsid w:val="00D2760D"/>
    <w:rsid w:val="00D35702"/>
    <w:rsid w:val="00D560B3"/>
    <w:rsid w:val="00D61989"/>
    <w:rsid w:val="00D761EF"/>
    <w:rsid w:val="00D8597A"/>
    <w:rsid w:val="00D87F5F"/>
    <w:rsid w:val="00DA340D"/>
    <w:rsid w:val="00DC15FE"/>
    <w:rsid w:val="00DD72CB"/>
    <w:rsid w:val="00E30D6B"/>
    <w:rsid w:val="00E333C3"/>
    <w:rsid w:val="00E65D58"/>
    <w:rsid w:val="00E84BE7"/>
    <w:rsid w:val="00EC029E"/>
    <w:rsid w:val="00FD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C9D"/>
    <w:pPr>
      <w:spacing w:after="0"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4B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76"/>
    <w:rPr>
      <w:rFonts w:ascii="Tahoma" w:hAnsi="Tahoma" w:cs="Tahoma"/>
      <w:sz w:val="16"/>
      <w:szCs w:val="16"/>
    </w:rPr>
  </w:style>
  <w:style w:type="character" w:styleId="CommentReference">
    <w:name w:val="annotation reference"/>
    <w:basedOn w:val="DefaultParagraphFont"/>
    <w:uiPriority w:val="99"/>
    <w:semiHidden/>
    <w:unhideWhenUsed/>
    <w:rsid w:val="00971976"/>
    <w:rPr>
      <w:sz w:val="16"/>
      <w:szCs w:val="16"/>
    </w:rPr>
  </w:style>
  <w:style w:type="paragraph" w:styleId="CommentText">
    <w:name w:val="annotation text"/>
    <w:basedOn w:val="Normal"/>
    <w:link w:val="CommentTextChar"/>
    <w:uiPriority w:val="99"/>
    <w:semiHidden/>
    <w:unhideWhenUsed/>
    <w:rsid w:val="00971976"/>
    <w:pPr>
      <w:spacing w:line="240" w:lineRule="auto"/>
    </w:pPr>
    <w:rPr>
      <w:sz w:val="20"/>
      <w:szCs w:val="20"/>
    </w:rPr>
  </w:style>
  <w:style w:type="character" w:customStyle="1" w:styleId="CommentTextChar">
    <w:name w:val="Comment Text Char"/>
    <w:basedOn w:val="DefaultParagraphFont"/>
    <w:link w:val="CommentText"/>
    <w:uiPriority w:val="99"/>
    <w:semiHidden/>
    <w:rsid w:val="00971976"/>
    <w:rPr>
      <w:sz w:val="20"/>
      <w:szCs w:val="20"/>
    </w:rPr>
  </w:style>
  <w:style w:type="paragraph" w:styleId="CommentSubject">
    <w:name w:val="annotation subject"/>
    <w:basedOn w:val="CommentText"/>
    <w:next w:val="CommentText"/>
    <w:link w:val="CommentSubjectChar"/>
    <w:uiPriority w:val="99"/>
    <w:semiHidden/>
    <w:unhideWhenUsed/>
    <w:rsid w:val="00971976"/>
    <w:rPr>
      <w:b/>
      <w:bCs/>
    </w:rPr>
  </w:style>
  <w:style w:type="character" w:customStyle="1" w:styleId="CommentSubjectChar">
    <w:name w:val="Comment Subject Char"/>
    <w:basedOn w:val="CommentTextChar"/>
    <w:link w:val="CommentSubject"/>
    <w:uiPriority w:val="99"/>
    <w:semiHidden/>
    <w:rsid w:val="00971976"/>
    <w:rPr>
      <w:b/>
      <w:bCs/>
      <w:sz w:val="20"/>
      <w:szCs w:val="20"/>
    </w:rPr>
  </w:style>
  <w:style w:type="paragraph" w:styleId="Header">
    <w:name w:val="header"/>
    <w:basedOn w:val="Normal"/>
    <w:link w:val="HeaderChar"/>
    <w:uiPriority w:val="99"/>
    <w:unhideWhenUsed/>
    <w:rsid w:val="00B8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03"/>
  </w:style>
  <w:style w:type="paragraph" w:styleId="Footer">
    <w:name w:val="footer"/>
    <w:basedOn w:val="Normal"/>
    <w:link w:val="FooterChar"/>
    <w:uiPriority w:val="99"/>
    <w:unhideWhenUsed/>
    <w:rsid w:val="00B8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03"/>
  </w:style>
  <w:style w:type="paragraph" w:styleId="Revision">
    <w:name w:val="Revision"/>
    <w:hidden/>
    <w:uiPriority w:val="99"/>
    <w:semiHidden/>
    <w:rsid w:val="00D6198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C9D"/>
    <w:pPr>
      <w:spacing w:after="0"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4B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76"/>
    <w:rPr>
      <w:rFonts w:ascii="Tahoma" w:hAnsi="Tahoma" w:cs="Tahoma"/>
      <w:sz w:val="16"/>
      <w:szCs w:val="16"/>
    </w:rPr>
  </w:style>
  <w:style w:type="character" w:styleId="CommentReference">
    <w:name w:val="annotation reference"/>
    <w:basedOn w:val="DefaultParagraphFont"/>
    <w:uiPriority w:val="99"/>
    <w:semiHidden/>
    <w:unhideWhenUsed/>
    <w:rsid w:val="00971976"/>
    <w:rPr>
      <w:sz w:val="16"/>
      <w:szCs w:val="16"/>
    </w:rPr>
  </w:style>
  <w:style w:type="paragraph" w:styleId="CommentText">
    <w:name w:val="annotation text"/>
    <w:basedOn w:val="Normal"/>
    <w:link w:val="CommentTextChar"/>
    <w:uiPriority w:val="99"/>
    <w:semiHidden/>
    <w:unhideWhenUsed/>
    <w:rsid w:val="00971976"/>
    <w:pPr>
      <w:spacing w:line="240" w:lineRule="auto"/>
    </w:pPr>
    <w:rPr>
      <w:sz w:val="20"/>
      <w:szCs w:val="20"/>
    </w:rPr>
  </w:style>
  <w:style w:type="character" w:customStyle="1" w:styleId="CommentTextChar">
    <w:name w:val="Comment Text Char"/>
    <w:basedOn w:val="DefaultParagraphFont"/>
    <w:link w:val="CommentText"/>
    <w:uiPriority w:val="99"/>
    <w:semiHidden/>
    <w:rsid w:val="00971976"/>
    <w:rPr>
      <w:sz w:val="20"/>
      <w:szCs w:val="20"/>
    </w:rPr>
  </w:style>
  <w:style w:type="paragraph" w:styleId="CommentSubject">
    <w:name w:val="annotation subject"/>
    <w:basedOn w:val="CommentText"/>
    <w:next w:val="CommentText"/>
    <w:link w:val="CommentSubjectChar"/>
    <w:uiPriority w:val="99"/>
    <w:semiHidden/>
    <w:unhideWhenUsed/>
    <w:rsid w:val="00971976"/>
    <w:rPr>
      <w:b/>
      <w:bCs/>
    </w:rPr>
  </w:style>
  <w:style w:type="character" w:customStyle="1" w:styleId="CommentSubjectChar">
    <w:name w:val="Comment Subject Char"/>
    <w:basedOn w:val="CommentTextChar"/>
    <w:link w:val="CommentSubject"/>
    <w:uiPriority w:val="99"/>
    <w:semiHidden/>
    <w:rsid w:val="00971976"/>
    <w:rPr>
      <w:b/>
      <w:bCs/>
      <w:sz w:val="20"/>
      <w:szCs w:val="20"/>
    </w:rPr>
  </w:style>
  <w:style w:type="paragraph" w:styleId="Header">
    <w:name w:val="header"/>
    <w:basedOn w:val="Normal"/>
    <w:link w:val="HeaderChar"/>
    <w:uiPriority w:val="99"/>
    <w:unhideWhenUsed/>
    <w:rsid w:val="00B8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03"/>
  </w:style>
  <w:style w:type="paragraph" w:styleId="Footer">
    <w:name w:val="footer"/>
    <w:basedOn w:val="Normal"/>
    <w:link w:val="FooterChar"/>
    <w:uiPriority w:val="99"/>
    <w:unhideWhenUsed/>
    <w:rsid w:val="00B8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03"/>
  </w:style>
  <w:style w:type="paragraph" w:styleId="Revision">
    <w:name w:val="Revision"/>
    <w:hidden/>
    <w:uiPriority w:val="99"/>
    <w:semiHidden/>
    <w:rsid w:val="00D61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3529</Words>
  <Characters>20119</Characters>
  <Application>Microsoft Macintosh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Oliver</dc:creator>
  <cp:lastModifiedBy>Rahul Chopra</cp:lastModifiedBy>
  <cp:revision>2</cp:revision>
  <cp:lastPrinted>2014-02-24T21:05:00Z</cp:lastPrinted>
  <dcterms:created xsi:type="dcterms:W3CDTF">2014-02-25T14:36:00Z</dcterms:created>
  <dcterms:modified xsi:type="dcterms:W3CDTF">2014-02-25T14:36:00Z</dcterms:modified>
</cp:coreProperties>
</file>